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28"/>
          <w:szCs w:val="28"/>
        </w:rPr>
      </w:pPr>
      <w:bookmarkStart w:name="_Hlk131836111" w:id="0"/>
      <w:r>
        <w:rPr>
          <w:sz w:val="28"/>
          <w:szCs w:val="28"/>
          <w:rtl w:val="0"/>
          <w:lang w:val="en-US"/>
        </w:rPr>
        <w:t>E</w:t>
      </w:r>
      <w:bookmarkEnd w:id="0"/>
      <w:bookmarkStart w:name="_Hlk131836337" w:id="1"/>
      <w:r>
        <w:rPr>
          <w:sz w:val="28"/>
          <w:szCs w:val="28"/>
          <w:rtl w:val="0"/>
          <w:lang w:val="en-US"/>
        </w:rPr>
        <w:t xml:space="preserve">CSA Edinburgh Focus Meeting </w:t>
      </w:r>
    </w:p>
    <w:p>
      <w:pPr>
        <w:pStyle w:val="Title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“</w:t>
      </w:r>
      <w:r>
        <w:rPr>
          <w:i w:val="1"/>
          <w:iCs w:val="1"/>
          <w:sz w:val="28"/>
          <w:szCs w:val="28"/>
          <w:rtl w:val="0"/>
          <w:lang w:val="en-US"/>
        </w:rPr>
        <w:t>Scotland</w:t>
      </w:r>
      <w:r>
        <w:rPr>
          <w:i w:val="1"/>
          <w:iCs w:val="1"/>
          <w:sz w:val="28"/>
          <w:szCs w:val="28"/>
          <w:rtl w:val="0"/>
          <w:lang w:val="en-US"/>
        </w:rPr>
        <w:t>’</w:t>
      </w:r>
      <w:r>
        <w:rPr>
          <w:i w:val="1"/>
          <w:iCs w:val="1"/>
          <w:sz w:val="28"/>
          <w:szCs w:val="28"/>
          <w:rtl w:val="0"/>
          <w:lang w:val="en-US"/>
        </w:rPr>
        <w:t>s East Coast: Integrating Local Science, Management, and Broader Perspectives</w:t>
      </w:r>
      <w:r>
        <w:rPr>
          <w:i w:val="1"/>
          <w:iCs w:val="1"/>
          <w:sz w:val="28"/>
          <w:szCs w:val="28"/>
          <w:rtl w:val="0"/>
          <w:lang w:val="en-US"/>
        </w:rPr>
        <w:t>”</w:t>
      </w:r>
    </w:p>
    <w:p>
      <w:pPr>
        <w:pStyle w:val="Title"/>
        <w:rPr>
          <w:b w:val="0"/>
          <w:bCs w:val="0"/>
          <w:sz w:val="28"/>
          <w:szCs w:val="28"/>
        </w:rPr>
      </w:pPr>
      <w:r>
        <w:rPr>
          <w:sz w:val="28"/>
          <w:szCs w:val="28"/>
          <w:rtl w:val="0"/>
          <w:lang w:val="en-US"/>
        </w:rPr>
        <w:t>12-13 May 202</w:t>
      </w:r>
      <w:bookmarkEnd w:id="1"/>
      <w:r>
        <w:rPr>
          <w:sz w:val="28"/>
          <w:szCs w:val="28"/>
          <w:rtl w:val="0"/>
          <w:lang w:val="en-US"/>
        </w:rPr>
        <w:t>6</w:t>
      </w:r>
      <w:bookmarkStart w:name="_Hlk131836551" w:id="2"/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09"/>
        <w:gridCol w:w="3534"/>
        <w:gridCol w:w="3498"/>
        <w:gridCol w:w="1369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#</w:t>
            </w:r>
          </w:p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AUTHOR</w:t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TITLE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Timings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Introduction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Teresa Fernandez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Heriot Watt</w:t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9:30-9:35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Welcome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ECSA President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John Humphreys</w:t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9:35-9:45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 xml:space="preserve">Chair </w:t>
            </w: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 xml:space="preserve">– </w:t>
            </w: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Andrew Wither</w:t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1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A1</w:t>
            </w:r>
          </w:p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Michael Elliott (Director, IECS Ltd and Emeritus Professor, University of Hull), Donald S McLusky (Emeritus, Stirling University) and Scot Mathieson (Honorary Professor, Univ. Stirling)</w:t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The 'anatomy, physiology and pathology of an estuary' - how is the patient doing? - historical musings of the Forth Estuary!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9:45-10:05</w:t>
            </w:r>
          </w:p>
        </w:tc>
      </w:tr>
      <w:tr>
        <w:tblPrEx>
          <w:shd w:val="clear" w:color="auto" w:fill="cdd4e9"/>
        </w:tblPrEx>
        <w:trPr>
          <w:trHeight w:val="12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A2</w:t>
            </w:r>
          </w:p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Lucy Robinson (St Andrews)</w:t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Assessing the drivers of intertidal organic carbon stocks and reactivity across estuarine gradients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10:05-10:25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A3</w:t>
            </w:r>
          </w:p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R Pereira, B Cowling, S Norouzi, T Wagner, J Bischoff, D Hughes (Lyell, Heriot-Watt)</w:t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Reducing uncertainties of organic matter transport in the land-ocean continuum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10:25-10:45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Heading"/>
              <w:ind w:left="720" w:hanging="720"/>
            </w:pPr>
            <w:r>
              <w:rPr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Tea/coffee</w:t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10:45-11:15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Heading"/>
              <w:ind w:left="720" w:hanging="720"/>
            </w:pP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 xml:space="preserve">Chair </w:t>
            </w: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 xml:space="preserve">– </w:t>
            </w: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Axel Miller</w:t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5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B1</w:t>
            </w:r>
          </w:p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tabs>
                <w:tab w:val="left" w:pos="2115"/>
              </w:tabs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Martin Wilkinson &amp; Clare Scanlan (Heriot-Watt)</w:t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Recovery of grossly impacted intertidal seaweed communities in the Firth of Forth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What should we expect in a healthy seaweed community?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11:15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11:35</w:t>
            </w:r>
          </w:p>
        </w:tc>
      </w:tr>
      <w:tr>
        <w:tblPrEx>
          <w:shd w:val="clear" w:color="auto" w:fill="cdd4e9"/>
        </w:tblPrEx>
        <w:trPr>
          <w:trHeight w:val="18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B2</w:t>
            </w:r>
          </w:p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Scot Mathieson (Univ. Stirling)</w:t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‘</w:t>
            </w:r>
            <w:r>
              <w:rPr>
                <w:shd w:val="nil" w:color="auto" w:fill="auto"/>
                <w:rtl w:val="0"/>
                <w:lang w:val="en-US"/>
              </w:rPr>
              <w:t xml:space="preserve">Scotland as a global stronghold for the rare unattached growth form of Knotted Wrack,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Ascophyllum nodosum </w:t>
            </w:r>
            <w:r>
              <w:rPr>
                <w:shd w:val="nil" w:color="auto" w:fill="auto"/>
                <w:rtl w:val="0"/>
                <w:lang w:val="en-US"/>
              </w:rPr>
              <w:t>f.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 mackayi</w:t>
            </w:r>
            <w:r>
              <w:rPr>
                <w:shd w:val="nil" w:color="auto" w:fill="auto"/>
                <w:rtl w:val="0"/>
                <w:lang w:val="en-US"/>
              </w:rPr>
              <w:t xml:space="preserve"> (Turner) A.C.Mathieson &amp; Dawes 2017</w:t>
            </w:r>
            <w:r>
              <w:rPr>
                <w:shd w:val="nil" w:color="auto" w:fill="auto"/>
                <w:rtl w:val="0"/>
                <w:lang w:val="en-US"/>
              </w:rPr>
              <w:t>’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11:35-11:55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B3</w:t>
            </w:r>
          </w:p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Stewart Angus (NatureScot)</w:t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en-US"/>
              </w:rPr>
              <w:t>Spartina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 in Scotland: is the cure worse than the disease?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11:55-12:15</w:t>
            </w:r>
          </w:p>
        </w:tc>
      </w:tr>
      <w:tr>
        <w:tblPrEx>
          <w:shd w:val="clear" w:color="auto" w:fill="cdd4e9"/>
        </w:tblPrEx>
        <w:trPr>
          <w:trHeight w:val="15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B4</w:t>
            </w:r>
          </w:p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vertAlign w:val="baseline"/>
                <w:rtl w:val="0"/>
                <w:lang w:val="en-US"/>
              </w:rPr>
              <w:t>Martin D. Hurst, Craig Macdonell, Kenny Roberts, Thomas Prentice, Charlotte Francoz, Alistair Rennie, and Kim McKissock</w:t>
            </w:r>
            <w:r>
              <w:rPr>
                <w:b w:val="0"/>
                <w:bCs w:val="0"/>
                <w:shd w:val="nil" w:color="auto" w:fill="auto"/>
                <w:vertAlign w:val="superscript"/>
              </w:rPr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Understanding Rapid Coastal Change and increasing Flooding Risks at Montrose Bay, Eastern Scotland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12:15-12:35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lunch  </w:t>
            </w:r>
          </w:p>
        </w:tc>
        <w:tc>
          <w:tcPr>
            <w:tcW w:type="dxa" w:w="3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12:40-14:00</w:t>
            </w:r>
          </w:p>
        </w:tc>
      </w:tr>
    </w:tbl>
    <w:p>
      <w:pPr>
        <w:pStyle w:val="Heading"/>
      </w:pPr>
      <w:bookmarkStart w:name="_Hlk131836602" w:id="3"/>
    </w:p>
    <w:p>
      <w:pPr>
        <w:pStyle w:val="Heading"/>
      </w:pPr>
    </w:p>
    <w:p>
      <w:pPr>
        <w:pStyle w:val="Body"/>
      </w:pPr>
    </w:p>
    <w:p>
      <w:pPr>
        <w:pStyle w:val="Body"/>
      </w:pPr>
    </w:p>
    <w:p>
      <w:pPr>
        <w:pStyle w:val="Heading"/>
      </w:pPr>
      <w:r>
        <w:rPr>
          <w:rFonts w:cs="Arial Unicode MS" w:eastAsia="Arial Unicode MS"/>
          <w:rtl w:val="0"/>
          <w:lang w:val="en-US"/>
        </w:rPr>
        <w:t xml:space="preserve">Day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477519</wp:posOffset>
                </wp:positionV>
                <wp:extent cx="1587500" cy="26273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Day 1 (am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26273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cs="Arial Unicode MS" w:eastAsia="Arial Unicode MS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Day 1 (am)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2.0pt;margin-top:37.6pt;width:125.0pt;height:20.7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cs="Arial Unicode MS" w:eastAsia="Arial Unicode MS"/>
                          <w:b w:val="1"/>
                          <w:bCs w:val="1"/>
                          <w:rtl w:val="0"/>
                          <w:lang w:val="en-US"/>
                        </w:rPr>
                        <w:t>Day 1 (am)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Fonts w:cs="Arial Unicode MS" w:eastAsia="Arial Unicode MS"/>
          <w:rtl w:val="0"/>
          <w:lang w:val="en-US"/>
        </w:rPr>
        <w:t>1 (pm)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09"/>
        <w:gridCol w:w="3519"/>
        <w:gridCol w:w="3480"/>
        <w:gridCol w:w="1402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#</w:t>
            </w:r>
          </w:p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AUTHOR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TITLE</w:t>
            </w:r>
          </w:p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Timings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 xml:space="preserve">Chair </w:t>
            </w: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 xml:space="preserve">– </w:t>
            </w: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Martin Wilkinson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5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C1</w:t>
            </w:r>
          </w:p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Tim Stojanovic (St Andrews University)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The History of Shoreline Management and Coastal Change Adaptation Planning in Scotland: lessons learned for governing the shoreface</w:t>
            </w:r>
          </w:p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14:00-14:20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C2</w:t>
            </w:r>
          </w:p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Colin Moffat</w:t>
              <w:tab/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Inevitable change in coastal ecosystems - evidence and the need for adaptation</w:t>
            </w:r>
          </w:p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14:20-14:40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C3</w:t>
            </w:r>
          </w:p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Michel Kaiser (Lyell, Heriot-Watt)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Flapper skate</w:t>
            </w:r>
          </w:p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14.40-15.00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C4</w:t>
            </w:r>
          </w:p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Paolo Pizzola</w:t>
              <w:tab/>
              <w:t>(Haskoning)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Offshore Wind in Scotland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Current Status and Challenges</w:t>
            </w:r>
          </w:p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15:00-15:20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Tea/coffee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15.20-15:50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 xml:space="preserve">Chair </w:t>
            </w: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 xml:space="preserve">– </w:t>
            </w: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Mike Elliott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D1</w:t>
            </w:r>
          </w:p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Mark G. J. Hartl (Heriot-Watt), Acres, T-Jay, Andrew K. Sweetman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Deep-sea ecotoxicology. Baseline biomarker data for deep-sea fish</w:t>
            </w:r>
          </w:p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15:50-16:10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D2</w:t>
            </w:r>
          </w:p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Ella Jackson (Heriot-Watt)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Shellfish contamination in the Firth of Forth</w:t>
            </w:r>
          </w:p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16:10-16.30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D3</w:t>
            </w:r>
          </w:p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James Robinson (QMUL)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Legacy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 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landfill governance along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 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Scotland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’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s coasts: A multi-scalar analysis</w:t>
            </w:r>
          </w:p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16:30-16:50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Final Discussion and wrap-up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16:50-17:15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"/>
        <w:widowControl w:val="0"/>
      </w:pPr>
    </w:p>
    <w:p>
      <w:pPr>
        <w:pStyle w:val="Body"/>
      </w:pPr>
      <w:bookmarkStart w:name="_Hlk131836645" w:id="4"/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>Day 2 (am)</w:t>
      </w:r>
    </w:p>
    <w:p>
      <w:pPr>
        <w:pStyle w:val="Body"/>
      </w:pP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09"/>
        <w:gridCol w:w="3574"/>
        <w:gridCol w:w="3467"/>
        <w:gridCol w:w="1360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#</w:t>
            </w:r>
          </w:p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AUTHOR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TITLE</w:t>
            </w:r>
          </w:p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Timings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Welcome </w:t>
            </w: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Teresa Fernandes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09:00-09:05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 xml:space="preserve">Chair </w:t>
            </w: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 xml:space="preserve">– </w:t>
            </w: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tbc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E1</w:t>
            </w:r>
          </w:p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Hamish Mair et al (Heriot-Watt)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60 years of scientific diving at Heriot-Watt University</w:t>
            </w:r>
          </w:p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09.05-9:50</w:t>
            </w:r>
          </w:p>
        </w:tc>
      </w:tr>
      <w:tr>
        <w:tblPrEx>
          <w:shd w:val="clear" w:color="auto" w:fill="cdd4e9"/>
        </w:tblPrEx>
        <w:trPr>
          <w:trHeight w:val="12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E2</w:t>
            </w:r>
          </w:p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Naomi Kennon, Michael Bell and William Sanderson (Heriot-Watt)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Successful Snapping: Photogrammetry as a Tool for Monitoring Temperate Reef Restoration</w:t>
            </w:r>
          </w:p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09:50-10:10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E3</w:t>
            </w:r>
          </w:p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Alastair Lyndon (Heriot-Watt)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Restoration in the Forth - seagrass</w:t>
            </w:r>
          </w:p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10:10-10:30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Tea/coffee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10:30-11:00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 xml:space="preserve">Chair </w:t>
            </w: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 xml:space="preserve">– </w:t>
            </w:r>
            <w:r>
              <w:rPr>
                <w:b w:val="0"/>
                <w:bCs w:val="0"/>
                <w:outline w:val="0"/>
                <w:color w:val="00b0f0"/>
                <w:u w:color="00b0f0"/>
                <w:shd w:val="nil" w:color="auto" w:fill="auto"/>
                <w:rtl w:val="0"/>
                <w:lang w:val="en-US"/>
                <w14:textFill>
                  <w14:solidFill>
                    <w14:srgbClr w14:val="00B0F0"/>
                  </w14:solidFill>
                </w14:textFill>
              </w:rPr>
              <w:t>Colin Moffat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8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F1</w:t>
            </w:r>
          </w:p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Gurjameer (Jay) Singh Ramday, Naomi Kennon, Alexander Robertson-Jones, Magnus Janson, Colin Moore, Owen Paisley &amp; William G. Sanderson (Heriot-Watt)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The Fruits of Monitoring: Evaluating Success in Restoration</w:t>
            </w:r>
          </w:p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11:00-11:20</w:t>
            </w:r>
          </w:p>
        </w:tc>
      </w:tr>
      <w:tr>
        <w:tblPrEx>
          <w:shd w:val="clear" w:color="auto" w:fill="cdd4e9"/>
        </w:tblPrEx>
        <w:trPr>
          <w:trHeight w:val="12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F2</w:t>
            </w:r>
          </w:p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Martin D. Hurst, Jack Bloodworth, Alistair Rennie, Lorraine Gormley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A co designed coastal monitoring programme for Scotland; evidence to inform coastal adaptation planning and policy</w:t>
            </w:r>
          </w:p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11:20-11:40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F3</w:t>
            </w:r>
          </w:p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Dani Diz (Lyell, Heriot-Watt)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Protecting the High Seas and the Area: the vast ocean areas beyond national jurisdiction (ABNJ)</w:t>
            </w:r>
          </w:p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11.40-12:00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Wrap up discussion and conclusions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Teresa Fernandes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12:00-12:20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Close the meeting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John Humphreys 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12:20-12:30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ECSA AGM for members</w:t>
            </w:r>
          </w:p>
        </w:tc>
        <w:tc>
          <w:tcPr>
            <w:tcW w:type="dxa" w:w="3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"/>
            </w:pPr>
            <w:r>
              <w:rPr>
                <w:b w:val="0"/>
                <w:bCs w:val="0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12:30-13:30</w:t>
            </w:r>
          </w:p>
        </w:tc>
      </w:tr>
    </w:tbl>
    <w:p>
      <w:pPr>
        <w:pStyle w:val="Body"/>
      </w:pPr>
    </w:p>
    <w:p>
      <w:pPr>
        <w:pStyle w:val="Body"/>
      </w:pPr>
      <w:r>
        <w:rPr>
          <w:rFonts w:cs="Arial Unicode MS" w:eastAsia="Arial Unicode MS"/>
          <w:rtl w:val="0"/>
          <w:lang w:val="en-US"/>
        </w:rPr>
        <w:t>Teas, coffees and lunch on the first day are included in the registration fee.</w:t>
      </w:r>
      <w:bookmarkEnd w:id="4"/>
      <w:bookmarkEnd w:id="3"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